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688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31"/>
        <w:gridCol w:w="160"/>
        <w:gridCol w:w="764"/>
        <w:gridCol w:w="513"/>
        <w:gridCol w:w="837"/>
        <w:gridCol w:w="1297"/>
        <w:gridCol w:w="196"/>
        <w:gridCol w:w="160"/>
        <w:gridCol w:w="722"/>
        <w:gridCol w:w="160"/>
        <w:gridCol w:w="1541"/>
      </w:tblGrid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80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Име и презиме</w:t>
            </w:r>
          </w:p>
        </w:tc>
        <w:tc>
          <w:tcPr>
            <w:tcW w:type="dxa" w:w="4076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милија Дубљанин Распоповић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80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Звање</w:t>
            </w:r>
          </w:p>
        </w:tc>
        <w:tc>
          <w:tcPr>
            <w:tcW w:type="dxa" w:w="4076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Ванредни професор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80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Ужа научна област</w:t>
            </w:r>
          </w:p>
        </w:tc>
        <w:tc>
          <w:tcPr>
            <w:tcW w:type="dxa" w:w="4076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Физикална медицина и рехабилитација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Академска каријера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Година </w:t>
            </w:r>
          </w:p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Институција </w:t>
            </w:r>
          </w:p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Област </w:t>
            </w:r>
          </w:p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Ужа научна односно уметничка област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Избор у звање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2018</w:t>
            </w:r>
          </w:p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Medicinski fakultet Univerziteta u Beogradu</w:t>
            </w:r>
          </w:p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Fizikalna medicina i rehabilitacija</w:t>
            </w:r>
          </w:p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Докторат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2011</w:t>
            </w:r>
          </w:p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Medicinski fakultet Univerziteta u Beogradu</w:t>
            </w:r>
          </w:p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Fizikalna medicina i rehabilitacija</w:t>
            </w:r>
          </w:p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Магистратура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2004</w:t>
            </w:r>
          </w:p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Medicinski fakultet Univerziteta u Beogradu</w:t>
            </w:r>
          </w:p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Fizikalna medicina i rehabilitacija</w:t>
            </w:r>
          </w:p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Мастер диплома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6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Диплома</w:t>
            </w:r>
          </w:p>
        </w:tc>
        <w:tc>
          <w:tcPr>
            <w:tcW w:type="dxa" w:w="8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1999</w:t>
            </w:r>
          </w:p>
        </w:tc>
        <w:tc>
          <w:tcPr>
            <w:tcW w:type="dxa" w:w="12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Medicinski fakultet Univerziteta u Beogradu</w:t>
            </w:r>
          </w:p>
        </w:tc>
        <w:tc>
          <w:tcPr>
            <w:tcW w:type="dxa" w:w="1238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Fizikalna medicina i rehabilitacija</w:t>
            </w:r>
          </w:p>
        </w:tc>
        <w:tc>
          <w:tcPr>
            <w:tcW w:type="dxa" w:w="15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 xml:space="preserve">Списак предмета које наставник држи на докторским студијама 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Р</w:t>
            </w:r>
            <w:r>
              <w:rPr>
                <w:b w:val="1"/>
                <w:bCs w:val="1"/>
                <w:rtl w:val="0"/>
              </w:rPr>
              <w:t>.</w:t>
            </w:r>
            <w:r>
              <w:rPr>
                <w:b w:val="1"/>
                <w:bCs w:val="1"/>
                <w:rtl w:val="0"/>
              </w:rPr>
              <w:t>Б</w:t>
            </w:r>
            <w:r>
              <w:rPr>
                <w:b w:val="1"/>
                <w:bCs w:val="1"/>
                <w:rtl w:val="0"/>
              </w:rPr>
              <w:t>.</w:t>
            </w:r>
          </w:p>
        </w:tc>
        <w:tc>
          <w:tcPr>
            <w:tcW w:type="dxa" w:w="9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 xml:space="preserve">Ознака </w:t>
            </w:r>
          </w:p>
        </w:tc>
        <w:tc>
          <w:tcPr>
            <w:tcW w:type="dxa" w:w="54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Назив предмета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0"/>
                <w:bCs w:val="0"/>
                <w:rtl w:val="0"/>
              </w:rPr>
              <w:t xml:space="preserve">Најзначајнији радови </w:t>
            </w:r>
            <w:r>
              <w:rPr>
                <w:b w:val="1"/>
                <w:bCs w:val="1"/>
                <w:rtl w:val="0"/>
              </w:rPr>
              <w:t xml:space="preserve"> у складу са захтевима допунских услова  стандарда за дато поље </w:t>
            </w:r>
            <w:r>
              <w:rPr>
                <w:b w:val="1"/>
                <w:bCs w:val="1"/>
                <w:rtl w:val="0"/>
              </w:rPr>
              <w:t>(</w:t>
            </w:r>
            <w:r>
              <w:rPr>
                <w:b w:val="1"/>
                <w:bCs w:val="1"/>
                <w:rtl w:val="0"/>
              </w:rPr>
              <w:t xml:space="preserve">минимално </w:t>
            </w:r>
            <w:r>
              <w:rPr>
                <w:b w:val="1"/>
                <w:bCs w:val="1"/>
                <w:rtl w:val="0"/>
              </w:rPr>
              <w:t xml:space="preserve">10 </w:t>
            </w:r>
            <w:r>
              <w:rPr>
                <w:b w:val="1"/>
                <w:bCs w:val="1"/>
                <w:rtl w:val="0"/>
              </w:rPr>
              <w:t xml:space="preserve">не више од </w:t>
            </w:r>
            <w:r>
              <w:rPr>
                <w:b w:val="1"/>
                <w:bCs w:val="1"/>
                <w:rtl w:val="0"/>
              </w:rPr>
              <w:t>20)</w:t>
            </w:r>
          </w:p>
        </w:tc>
      </w:tr>
      <w:tr>
        <w:tblPrEx>
          <w:shd w:val="clear" w:color="auto" w:fill="ced7e7"/>
        </w:tblPrEx>
        <w:trPr>
          <w:trHeight w:val="1921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before="100"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</w:rPr>
              <w:t>Kadija M, Milovanovi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nl-NL"/>
              </w:rPr>
              <w:t>D, Bumba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š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irevi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s-ES_tradnl"/>
              </w:rPr>
              <w:t>M, Carevi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Z,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</w:rPr>
              <w:t>Dubljanin-Raspopovi</w:t>
            </w:r>
            <w:r>
              <w:rPr>
                <w:rFonts w:ascii="Times New Roman" w:hAnsi="Times New Roman" w:hint="default"/>
                <w:sz w:val="22"/>
                <w:szCs w:val="22"/>
                <w:u w:val="single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Stijak L. </w:t>
            </w:r>
            <w:r>
              <w:rPr>
                <w:rStyle w:val="Hyperlink.0"/>
                <w:rFonts w:ascii="Times New Roman" w:cs="Times New Roman" w:hAnsi="Times New Roman" w:eastAsia="Times New Roman"/>
                <w:sz w:val="22"/>
                <w:szCs w:val="22"/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sz w:val="22"/>
                <w:szCs w:val="22"/>
              </w:rPr>
              <w:instrText xml:space="preserve"> HYPERLINK "http://www.ncbi.nlm.nih.gov/pubmed/26072031"</w:instrText>
            </w:r>
            <w:r>
              <w:rPr>
                <w:rStyle w:val="Hyperlink.0"/>
                <w:rFonts w:ascii="Times New Roman" w:cs="Times New Roman" w:hAnsi="Times New Roman" w:eastAsia="Times New Roman"/>
                <w:sz w:val="22"/>
                <w:szCs w:val="22"/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sz w:val="22"/>
                <w:szCs w:val="22"/>
                <w:rtl w:val="0"/>
                <w:lang w:val="en-US"/>
              </w:rPr>
              <w:t>Length of the femoral tunnel in anatomic ACL reconstruction: comparison of three techniques.</w:t>
            </w:r>
            <w:r>
              <w:rPr>
                <w:rFonts w:ascii="Times New Roman" w:cs="Times New Roman" w:hAnsi="Times New Roman" w:eastAsia="Times New Roman"/>
                <w:sz w:val="22"/>
                <w:szCs w:val="22"/>
              </w:rPr>
              <w:fldChar w:fldCharType="end" w:fldLock="0"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Knee Surg Sports Traumatol Arthrosc. 2017;25(5):1606-1612. M21, IF 3.083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Р</w:t>
            </w:r>
          </w:p>
        </w:tc>
      </w:tr>
      <w:tr>
        <w:tblPrEx>
          <w:shd w:val="clear" w:color="auto" w:fill="ced7e7"/>
        </w:tblPrEx>
        <w:trPr>
          <w:trHeight w:val="1681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before="100"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</w:rPr>
              <w:t>Nedeljkovi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U,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</w:rPr>
              <w:t>Dubljanin Raspopovi</w:t>
            </w:r>
            <w:r>
              <w:rPr>
                <w:rFonts w:ascii="Times New Roman" w:hAnsi="Times New Roman" w:hint="default"/>
                <w:sz w:val="22"/>
                <w:szCs w:val="22"/>
                <w:u w:val="single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, Ili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N, Tomanovi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Vujadinovi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it-IT"/>
              </w:rPr>
              <w:t>S, Soldatovi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I, Drulovi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J. Effectivness of rehabilitation in multiple sclerosis relapse on fatigue, self-efficacy and physical activity. Acta Neurol Belg. 2016,116(3):309-15. M23, IF =1.066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681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Marusic V, Denic-Markovic LJ, Djuric O, Protic D,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</w:rPr>
              <w:t>Dubljanin Raspopovic E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. Knowledge about blood-borne pathogens and the prevalence of needle stick injuries among medical students in Serbia. Zdr Varst 2017, 56(3):179-184.M23, IF=0.203      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700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>Ili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  <w:lang w:val="nl-NL"/>
              </w:rPr>
              <w:t xml:space="preserve">NV, </w:t>
            </w:r>
            <w:r>
              <w:rPr>
                <w:sz w:val="24"/>
                <w:szCs w:val="24"/>
                <w:u w:val="single"/>
                <w:rtl w:val="0"/>
              </w:rPr>
              <w:t>Dubljanin-Raspopovi</w:t>
            </w:r>
            <w:r>
              <w:rPr>
                <w:sz w:val="24"/>
                <w:szCs w:val="24"/>
                <w:u w:val="single"/>
                <w:rtl w:val="0"/>
              </w:rPr>
              <w:t xml:space="preserve">ć </w:t>
            </w:r>
            <w:r>
              <w:rPr>
                <w:sz w:val="24"/>
                <w:szCs w:val="24"/>
                <w:u w:val="single"/>
                <w:rtl w:val="0"/>
              </w:rPr>
              <w:t>E</w:t>
            </w:r>
            <w:r>
              <w:rPr>
                <w:sz w:val="24"/>
                <w:szCs w:val="24"/>
                <w:rtl w:val="0"/>
              </w:rPr>
              <w:t>, Nedeljkovi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>U, Tomanovi</w:t>
            </w:r>
            <w:r>
              <w:rPr>
                <w:sz w:val="24"/>
                <w:szCs w:val="24"/>
                <w:rtl w:val="0"/>
              </w:rPr>
              <w:t>ć</w:t>
            </w:r>
            <w:r>
              <w:rPr>
                <w:sz w:val="24"/>
                <w:szCs w:val="24"/>
                <w:rtl w:val="0"/>
              </w:rPr>
              <w:t>-Vujadinovi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>S, Milanovi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  <w:lang w:val="pt-PT"/>
              </w:rPr>
              <w:t>SD, Petroni</w:t>
            </w:r>
            <w:r>
              <w:rPr>
                <w:sz w:val="24"/>
                <w:szCs w:val="24"/>
                <w:rtl w:val="0"/>
              </w:rPr>
              <w:t>ć</w:t>
            </w:r>
            <w:r>
              <w:rPr>
                <w:sz w:val="24"/>
                <w:szCs w:val="24"/>
                <w:rtl w:val="0"/>
              </w:rPr>
              <w:t>-Markovi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>I, Ili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  <w:lang w:val="da-DK"/>
              </w:rPr>
              <w:t xml:space="preserve">TV. </w:t>
            </w:r>
            <w:r>
              <w:rPr>
                <w:sz w:val="24"/>
                <w:szCs w:val="24"/>
              </w:rPr>
              <w:fldChar w:fldCharType="begin" w:fldLock="0"/>
            </w:r>
            <w:r>
              <w:rPr>
                <w:sz w:val="24"/>
                <w:szCs w:val="24"/>
              </w:rPr>
              <w:instrText xml:space="preserve"> HYPERLINK "https://www.ncbi.nlm.nih.gov/pubmed/27689551"</w:instrText>
            </w:r>
            <w:r>
              <w:rPr>
                <w:sz w:val="24"/>
                <w:szCs w:val="24"/>
              </w:rPr>
              <w:fldChar w:fldCharType="separate" w:fldLock="0"/>
            </w:r>
            <w:r>
              <w:rPr>
                <w:sz w:val="24"/>
                <w:szCs w:val="24"/>
                <w:rtl w:val="0"/>
                <w:lang w:val="en-US"/>
              </w:rPr>
              <w:t>Effects of anodal tDCS and occupational therapy on fine motor skill deficits in patients with chronic stroke.</w:t>
            </w:r>
            <w:r>
              <w:rPr>
                <w:sz w:val="24"/>
                <w:szCs w:val="24"/>
              </w:rPr>
              <w:fldChar w:fldCharType="end" w:fldLock="0"/>
            </w:r>
            <w:r>
              <w:rPr>
                <w:sz w:val="24"/>
                <w:szCs w:val="24"/>
                <w:rtl w:val="0"/>
              </w:rPr>
              <w:t xml:space="preserve"> Restor Neurol Neurosci. 2016 Nov 22;34(6):935-945. M22, IF=2.526   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0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 xml:space="preserve">Tulic G, </w:t>
            </w:r>
            <w:r>
              <w:rPr>
                <w:sz w:val="24"/>
                <w:szCs w:val="24"/>
                <w:u w:val="single"/>
                <w:rtl w:val="0"/>
              </w:rPr>
              <w:t>Dubljanin-Raspopovic E,</w:t>
            </w:r>
            <w:r>
              <w:rPr>
                <w:sz w:val="24"/>
                <w:szCs w:val="24"/>
                <w:rtl w:val="0"/>
              </w:rPr>
              <w:t xml:space="preserve"> Tomanovic-Vujadinovic S, Sopta J, Todorovic A,     Manojlovic R. </w:t>
            </w:r>
            <w:r>
              <w:rPr>
                <w:sz w:val="24"/>
                <w:szCs w:val="24"/>
              </w:rPr>
              <w:fldChar w:fldCharType="begin" w:fldLock="0"/>
            </w:r>
            <w:r>
              <w:rPr>
                <w:sz w:val="24"/>
                <w:szCs w:val="24"/>
              </w:rPr>
              <w:instrText xml:space="preserve"> HYPERLINK "https://www.ncbi.nlm.nih.gov/pubmed/28956102"</w:instrText>
            </w:r>
            <w:r>
              <w:rPr>
                <w:sz w:val="24"/>
                <w:szCs w:val="24"/>
              </w:rPr>
              <w:fldChar w:fldCharType="separate" w:fldLock="0"/>
            </w:r>
            <w:r>
              <w:rPr>
                <w:sz w:val="24"/>
                <w:szCs w:val="24"/>
                <w:rtl w:val="0"/>
                <w:lang w:val="en-US"/>
              </w:rPr>
              <w:t>Prolonged pre-operative hospital stay as a predictive factor for early outcomes and mortality after geriatric hip fracture surgery: a single institution open prospective cohort study.</w:t>
            </w:r>
            <w:r>
              <w:rPr>
                <w:sz w:val="24"/>
                <w:szCs w:val="24"/>
              </w:rPr>
              <w:fldChar w:fldCharType="end" w:fldLock="0"/>
            </w:r>
            <w:r>
              <w:rPr>
                <w:sz w:val="24"/>
                <w:szCs w:val="24"/>
                <w:rtl w:val="0"/>
                <w:lang w:val="en-US"/>
              </w:rPr>
              <w:t xml:space="preserve"> Int Orthop. 2017 Sep 201</w:t>
            </w:r>
            <w:r>
              <w:rPr>
                <w:sz w:val="24"/>
                <w:szCs w:val="24"/>
                <w:rtl w:val="0"/>
              </w:rPr>
              <w:t>8</w:t>
            </w:r>
            <w:r>
              <w:rPr>
                <w:sz w:val="24"/>
                <w:szCs w:val="24"/>
                <w:rtl w:val="0"/>
                <w:lang w:val="en-US"/>
              </w:rPr>
              <w:t>;42(1):25-31.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0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Selakovic I, </w:t>
            </w:r>
            <w:r>
              <w:rPr>
                <w:sz w:val="24"/>
                <w:szCs w:val="24"/>
                <w:u w:val="single"/>
                <w:rtl w:val="0"/>
              </w:rPr>
              <w:t>Dubljanin-Raspopovic E,</w:t>
            </w:r>
            <w:r>
              <w:rPr>
                <w:sz w:val="24"/>
                <w:szCs w:val="24"/>
                <w:rtl w:val="0"/>
              </w:rPr>
              <w:t xml:space="preserve"> Markovic-Denic L, Marusic V, Cirkovic A, Kadija M, Tomanovic-Vujadinovic S, Tulic G. </w:t>
            </w:r>
            <w:r>
              <w:rPr>
                <w:sz w:val="24"/>
                <w:szCs w:val="24"/>
                <w:rtl w:val="0"/>
                <w:lang w:val="en-US"/>
              </w:rPr>
              <w:t xml:space="preserve">Can early assessment of hand grip strength in older </w:t>
            </w:r>
            <w:r>
              <w:rPr>
                <w:sz w:val="24"/>
                <w:szCs w:val="24"/>
                <w:rtl w:val="0"/>
              </w:rPr>
              <w:t xml:space="preserve"> </w:t>
            </w:r>
            <w:r>
              <w:rPr>
                <w:sz w:val="24"/>
                <w:szCs w:val="24"/>
                <w:rtl w:val="0"/>
                <w:lang w:val="en-US"/>
              </w:rPr>
              <w:t>hip fracture patients predict functional outcome? PLoS One. 2019 Aug 1;14(8):e0213223.</w:t>
            </w:r>
          </w:p>
          <w:p>
            <w:pPr>
              <w:pStyle w:val="Normal.0"/>
              <w:widowControl w:val="1"/>
              <w:rPr>
                <w:sz w:val="24"/>
                <w:szCs w:val="24"/>
              </w:rPr>
            </w:pPr>
          </w:p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 xml:space="preserve">     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0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Marusic V, Markovic-Denic L, Djuric O, Cirkovic A, Nikolic V, </w:t>
            </w:r>
            <w:r>
              <w:rPr>
                <w:sz w:val="24"/>
                <w:szCs w:val="24"/>
                <w:u w:val="single"/>
                <w:rtl w:val="0"/>
              </w:rPr>
              <w:t>Dubljanin-Raspopovic E</w:t>
            </w:r>
            <w:r>
              <w:rPr>
                <w:sz w:val="24"/>
                <w:szCs w:val="24"/>
                <w:rtl w:val="0"/>
              </w:rPr>
              <w:t>,</w:t>
            </w:r>
          </w:p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 xml:space="preserve">Kadija M. </w:t>
            </w:r>
            <w:r>
              <w:rPr>
                <w:rStyle w:val="Hyperlink.1"/>
                <w:sz w:val="24"/>
                <w:szCs w:val="24"/>
              </w:rPr>
              <w:fldChar w:fldCharType="begin" w:fldLock="0"/>
            </w:r>
            <w:r>
              <w:rPr>
                <w:rStyle w:val="Hyperlink.1"/>
                <w:sz w:val="24"/>
                <w:szCs w:val="24"/>
              </w:rPr>
              <w:instrText xml:space="preserve"> HYPERLINK "https://pubmed.ncbi.nlm.nih.gov/33498378/"</w:instrText>
            </w:r>
            <w:r>
              <w:rPr>
                <w:rStyle w:val="Hyperlink.1"/>
                <w:sz w:val="24"/>
                <w:szCs w:val="24"/>
              </w:rPr>
              <w:fldChar w:fldCharType="separate" w:fldLock="0"/>
            </w:r>
            <w:r>
              <w:rPr>
                <w:rStyle w:val="Hyperlink.1"/>
                <w:sz w:val="24"/>
                <w:szCs w:val="24"/>
                <w:rtl w:val="0"/>
              </w:rPr>
              <w:t>Incidence and Risk Factors of 30-Day Surgical Site Infection after Primary Total Joint Arthroplasty in a Middle-Income Country: A Single-Center Experience.</w:t>
            </w:r>
            <w:r>
              <w:rPr>
                <w:sz w:val="24"/>
                <w:szCs w:val="24"/>
              </w:rPr>
              <w:fldChar w:fldCharType="end" w:fldLock="0"/>
            </w:r>
            <w:r>
              <w:rPr>
                <w:sz w:val="24"/>
                <w:szCs w:val="24"/>
                <w:rtl w:val="0"/>
              </w:rPr>
              <w:t xml:space="preserve">Int J Environ Res </w:t>
            </w:r>
            <w:r>
              <w:rPr>
                <w:sz w:val="24"/>
                <w:szCs w:val="24"/>
                <w:rtl w:val="0"/>
                <w:lang w:val="en-US"/>
              </w:rPr>
              <w:t xml:space="preserve">  </w:t>
            </w:r>
            <w:r>
              <w:rPr>
                <w:sz w:val="24"/>
                <w:szCs w:val="24"/>
                <w:rtl w:val="0"/>
              </w:rPr>
              <w:t>Public Health. 2021 Jan 20;18(3):E863.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700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rtl w:val="0"/>
              </w:rPr>
              <w:t>Dubljanin Raspopovi</w:t>
            </w:r>
            <w:r>
              <w:rPr>
                <w:sz w:val="24"/>
                <w:szCs w:val="24"/>
                <w:u w:val="single"/>
                <w:rtl w:val="0"/>
              </w:rPr>
              <w:t xml:space="preserve">ć </w:t>
            </w:r>
            <w:r>
              <w:rPr>
                <w:sz w:val="24"/>
                <w:szCs w:val="24"/>
                <w:u w:val="single"/>
                <w:rtl w:val="0"/>
              </w:rPr>
              <w:t>E</w:t>
            </w:r>
            <w:r>
              <w:rPr>
                <w:sz w:val="24"/>
                <w:szCs w:val="24"/>
                <w:rtl w:val="0"/>
              </w:rPr>
              <w:t>, Meissner W, Zaslansky R, Kadija M, Tomanovi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>Vujadinovi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>S,</w:t>
            </w:r>
          </w:p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 xml:space="preserve"> Tuli</w:t>
            </w:r>
            <w:r>
              <w:rPr>
                <w:sz w:val="24"/>
                <w:szCs w:val="24"/>
                <w:rtl w:val="0"/>
              </w:rPr>
              <w:t xml:space="preserve">ć </w:t>
            </w:r>
            <w:r>
              <w:rPr>
                <w:sz w:val="24"/>
                <w:szCs w:val="24"/>
                <w:rtl w:val="0"/>
              </w:rPr>
              <w:t xml:space="preserve">G. </w:t>
            </w:r>
            <w:r>
              <w:rPr>
                <w:sz w:val="24"/>
                <w:szCs w:val="24"/>
              </w:rPr>
              <w:fldChar w:fldCharType="begin" w:fldLock="0"/>
            </w:r>
            <w:r>
              <w:rPr>
                <w:sz w:val="24"/>
                <w:szCs w:val="24"/>
              </w:rPr>
              <w:instrText xml:space="preserve"> HYPERLINK "https://pubmed.ncbi.nlm.nih.gov/34320012/"</w:instrText>
            </w:r>
            <w:r>
              <w:rPr>
                <w:sz w:val="24"/>
                <w:szCs w:val="24"/>
              </w:rPr>
              <w:fldChar w:fldCharType="separate" w:fldLock="0"/>
            </w:r>
            <w:r>
              <w:rPr>
                <w:sz w:val="24"/>
                <w:szCs w:val="24"/>
                <w:rtl w:val="0"/>
              </w:rPr>
              <w:t>Associations between early postoperative pain outcome measures and late functional outcomes in patients after knee arthroplasty.</w:t>
            </w:r>
            <w:r>
              <w:rPr>
                <w:sz w:val="24"/>
                <w:szCs w:val="24"/>
              </w:rPr>
              <w:fldChar w:fldCharType="end" w:fldLock="0"/>
            </w:r>
            <w:r>
              <w:rPr>
                <w:color w:val="4c7f54"/>
                <w:sz w:val="24"/>
                <w:szCs w:val="24"/>
                <w:rtl w:val="0"/>
              </w:rPr>
              <w:t xml:space="preserve"> </w:t>
            </w:r>
            <w:r>
              <w:rPr>
                <w:sz w:val="24"/>
                <w:szCs w:val="24"/>
                <w:rtl w:val="0"/>
              </w:rPr>
              <w:t>PLoS One. 2021 Jul 28;16(7):e0253147.</w:t>
            </w:r>
          </w:p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9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2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Збирни подаци научне активност наставника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429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Укупан број цитата</w:t>
            </w:r>
            <w:r>
              <w:rPr>
                <w:rtl w:val="0"/>
              </w:rPr>
              <w:t xml:space="preserve">, </w:t>
            </w:r>
            <w:r>
              <w:rPr>
                <w:rtl w:val="0"/>
              </w:rPr>
              <w:t>без аутоцитата</w:t>
            </w:r>
          </w:p>
        </w:tc>
        <w:tc>
          <w:tcPr>
            <w:tcW w:type="dxa" w:w="258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429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Укупан број радова са </w:t>
            </w:r>
            <w:r>
              <w:rPr>
                <w:rtl w:val="0"/>
              </w:rPr>
              <w:t>SCI (</w:t>
            </w:r>
            <w:r>
              <w:rPr>
                <w:rtl w:val="0"/>
              </w:rPr>
              <w:t xml:space="preserve">или </w:t>
            </w:r>
            <w:r>
              <w:rPr>
                <w:rtl w:val="0"/>
              </w:rPr>
              <w:t xml:space="preserve">SSCI) </w:t>
            </w:r>
            <w:r>
              <w:rPr>
                <w:rtl w:val="0"/>
              </w:rPr>
              <w:t>листе</w:t>
            </w:r>
          </w:p>
        </w:tc>
        <w:tc>
          <w:tcPr>
            <w:tcW w:type="dxa" w:w="258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26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429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Тренутно учешће на пројектима</w:t>
            </w:r>
          </w:p>
        </w:tc>
        <w:tc>
          <w:tcPr>
            <w:tcW w:type="dxa" w:w="88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Домаћи</w:t>
            </w:r>
            <w:r>
              <w:rPr>
                <w:rtl w:val="0"/>
              </w:rPr>
              <w:t xml:space="preserve"> 1</w:t>
            </w:r>
          </w:p>
        </w:tc>
        <w:tc>
          <w:tcPr>
            <w:tcW w:type="dxa" w:w="170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Међународни</w:t>
            </w:r>
          </w:p>
        </w:tc>
      </w:tr>
      <w:tr>
        <w:tblPrEx>
          <w:shd w:val="clear" w:color="auto" w:fill="ced7e7"/>
        </w:tblPrEx>
        <w:trPr>
          <w:trHeight w:val="4800" w:hRule="atLeast"/>
        </w:trPr>
        <w:tc>
          <w:tcPr>
            <w:tcW w:type="dxa" w:w="429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Усавршавања </w:t>
            </w:r>
          </w:p>
        </w:tc>
        <w:tc>
          <w:tcPr>
            <w:tcW w:type="dxa" w:w="258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jc w:val="both"/>
              <w:outlineLvl w:val="9"/>
            </w:pPr>
            <w:r>
              <w:rPr>
                <w:rFonts w:ascii="Times New Roman" w:hAnsi="Times New Roman"/>
                <w:sz w:val="24"/>
                <w:szCs w:val="24"/>
                <w:rtl w:val="0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de-DE"/>
              </w:rPr>
              <w:t xml:space="preserve">Barca Science Week, Camp Not, Barcelona, 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de-DE"/>
              </w:rPr>
              <w:t>Š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de-DE"/>
              </w:rPr>
              <w:t>panija, 2017 Odeljenje za anesteziju i hirur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de-DE"/>
              </w:rPr>
              <w:t>š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de-DE"/>
              </w:rPr>
              <w:t>ku intenzivnu medicinu, Campus Benjamin Franklin, Charite-Universitatsmedizin Berlin, Nema</w:t>
            </w:r>
            <w:r>
              <w:rPr>
                <w:rFonts w:ascii="Times New Roman" w:hAnsi="Times New Roman" w:hint="default"/>
                <w:sz w:val="24"/>
                <w:szCs w:val="24"/>
                <w:rtl w:val="0"/>
                <w:lang w:val="de-DE"/>
              </w:rPr>
              <w:t>č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de-DE"/>
              </w:rPr>
              <w:t xml:space="preserve">ka, 2011 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 xml:space="preserve"> EFIC Autumn Pain School, Klagenfurt, Austria, 2010  Montescano Pain School, Montescano, Italy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Други подаци које сматрате релевантним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Максимална дужине не сме бити већа од  </w:t>
            </w:r>
            <w:r>
              <w:rPr>
                <w:rtl w:val="0"/>
              </w:rPr>
              <w:t xml:space="preserve">1 </w:t>
            </w:r>
            <w:r>
              <w:rPr>
                <w:rtl w:val="0"/>
              </w:rPr>
              <w:t>странице А</w:t>
            </w:r>
            <w:r>
              <w:rPr>
                <w:rtl w:val="0"/>
              </w:rPr>
              <w:t>4</w:t>
            </w:r>
          </w:p>
        </w:tc>
      </w:tr>
    </w:tbl>
    <w:p>
      <w:pPr>
        <w:pStyle w:val="Normal.0"/>
        <w:jc w:val="center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spacing w:after="60"/>
      <w:jc w:val="center"/>
    </w:pPr>
    <w:r>
      <w:rPr>
        <w:b w:val="1"/>
        <w:bCs w:val="1"/>
        <w:sz w:val="22"/>
        <w:szCs w:val="22"/>
        <w:rtl w:val="0"/>
      </w:rPr>
      <w:t>Табела</w:t>
    </w:r>
    <w:r>
      <w:rPr>
        <w:b w:val="1"/>
        <w:bCs w:val="1"/>
        <w:sz w:val="22"/>
        <w:szCs w:val="22"/>
        <w:rtl w:val="0"/>
      </w:rPr>
      <w:t>. 9.6.</w:t>
    </w:r>
    <w:r>
      <w:rPr>
        <w:sz w:val="22"/>
        <w:szCs w:val="22"/>
        <w:rtl w:val="0"/>
      </w:rPr>
      <w:t xml:space="preserve"> Компетентност наставника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ing 1">
    <w:name w:val="Heading 1"/>
    <w:next w:val="Heading 1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character" w:styleId="Link">
    <w:name w:val="Link"/>
    <w:rPr>
      <w:color w:val="0000ff"/>
      <w:u w:val="single" w:color="0000ff"/>
    </w:rPr>
  </w:style>
  <w:style w:type="character" w:styleId="Hyperlink.0">
    <w:name w:val="Hyperlink.0"/>
    <w:basedOn w:val="Link"/>
    <w:next w:val="Hyperlink.0"/>
    <w:rPr>
      <w:color w:val="000000"/>
      <w:u w:val="none" w:color="000000"/>
    </w:rPr>
  </w:style>
  <w:style w:type="character" w:styleId="Hyperlink.1">
    <w:name w:val="Hyperlink.1"/>
    <w:basedOn w:val="Link"/>
    <w:next w:val="Hyperlink.1"/>
    <w:rPr>
      <w:color w:val="000000"/>
      <w:u w:val="none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2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